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97AD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西秀区体育行业安全生产治本攻坚三年</w:t>
      </w:r>
    </w:p>
    <w:p w14:paraId="2FB8269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行动方案（2024—2026年）</w:t>
      </w:r>
    </w:p>
    <w:p w14:paraId="6E84DE3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color w:val="auto"/>
          <w:sz w:val="32"/>
          <w:szCs w:val="32"/>
          <w:u w:val="none"/>
          <w:lang w:val="en-US" w:eastAsia="zh-CN"/>
        </w:rPr>
      </w:pPr>
    </w:p>
    <w:p w14:paraId="25F9D4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为认真贯彻落实习近平总书记关于安全生产工作的重要指示精神，进一步夯实体育领域安全生产基础，有效防范</w:t>
      </w:r>
      <w:bookmarkStart w:id="0" w:name="_GoBack"/>
      <w:bookmarkEnd w:id="0"/>
      <w:r>
        <w:rPr>
          <w:rFonts w:hint="eastAsia" w:ascii="仿宋_GB2312" w:hAnsi="仿宋_GB2312" w:eastAsia="仿宋_GB2312" w:cs="仿宋_GB2312"/>
          <w:sz w:val="32"/>
          <w:szCs w:val="40"/>
          <w:lang w:val="en-US" w:eastAsia="zh-CN"/>
        </w:rPr>
        <w:t>遏制重特大生产安全事故，按照《贵州省安全生产治本攻坚三年行动实施方案(2024-2026年)》和《贵州省体育局安全生产治本攻坚三年行动方案(2024-2026年)》文件要求，结合工作实际，制定本方案。</w:t>
      </w:r>
    </w:p>
    <w:p w14:paraId="4B88AF2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一、工作目标</w:t>
      </w:r>
    </w:p>
    <w:p w14:paraId="37F3C3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通过治本攻坚三年行动,基本建立起适应西秀区体育事业高质量发展需要的安全生产工作管理体系，体育赛事和群众性体育活动组织规范有序，高危险性体育项目、高危险性体育赛事活动安全管理水平显著提升，体育场馆及设备设施符合标准规范，安全基础不断牢固;各乡（镇）、街道、社区统筹发展和安全的理念进一步强化，事故隐患辨识、排查能力及执法意愿全面增强;持续开展体育领域重大事故隐患排查整改和动态清零，实行发现一处、整改一处，坚决防范遏制重特大事故发生，保持体育行业安全形势持续稳定向好。</w:t>
      </w:r>
    </w:p>
    <w:p w14:paraId="4D5D31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color w:val="auto"/>
          <w:sz w:val="32"/>
          <w:szCs w:val="32"/>
          <w:u w:val="none"/>
          <w:lang w:val="en-US" w:eastAsia="zh-CN"/>
        </w:rPr>
        <w:t>二、主要任务</w:t>
      </w:r>
    </w:p>
    <w:p w14:paraId="72898C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40"/>
          <w:lang w:val="en-US" w:eastAsia="zh-CN"/>
        </w:rPr>
        <w:t>(一)强化体育赛事活动安全管理工作。</w:t>
      </w:r>
      <w:r>
        <w:rPr>
          <w:rFonts w:hint="eastAsia" w:ascii="仿宋_GB2312" w:hAnsi="仿宋_GB2312" w:eastAsia="仿宋_GB2312" w:cs="仿宋_GB2312"/>
          <w:sz w:val="32"/>
          <w:szCs w:val="40"/>
          <w:lang w:val="en-US" w:eastAsia="zh-CN"/>
        </w:rPr>
        <w:t>以赛事活动安全风险预警机制为基点，做好赛前安全风险精细化评估，</w:t>
      </w:r>
      <w:r>
        <w:rPr>
          <w:rFonts w:hint="eastAsia" w:ascii="仿宋_GB2312" w:hAnsi="仿宋_GB2312" w:eastAsia="仿宋_GB2312" w:cs="仿宋_GB2312"/>
          <w:strike w:val="0"/>
          <w:dstrike w:val="0"/>
          <w:sz w:val="32"/>
          <w:szCs w:val="40"/>
          <w:lang w:val="en-US" w:eastAsia="zh-CN"/>
        </w:rPr>
        <w:t>构建包括安全风险应对机制、安全风险应急方案和风险熔断机制等流程化、科学化的安全风险防控链条，</w:t>
      </w:r>
      <w:r>
        <w:rPr>
          <w:rFonts w:hint="eastAsia" w:ascii="仿宋_GB2312" w:hAnsi="仿宋_GB2312" w:eastAsia="仿宋_GB2312" w:cs="仿宋_GB2312"/>
          <w:sz w:val="32"/>
          <w:szCs w:val="40"/>
          <w:lang w:val="en-US" w:eastAsia="zh-CN"/>
        </w:rPr>
        <w:t>加强对赛事活动事前、事中、事后的服务与管理。</w:t>
      </w:r>
      <w:r>
        <w:rPr>
          <w:rFonts w:hint="eastAsia" w:ascii="仿宋_GB2312" w:hAnsi="仿宋_GB2312" w:eastAsia="仿宋_GB2312" w:cs="仿宋_GB2312"/>
          <w:color w:val="auto"/>
          <w:sz w:val="32"/>
          <w:szCs w:val="32"/>
        </w:rPr>
        <w:t>严格落实安全主体责任，进一步夯实主办、承办和协办单位的安全工作职责，做到职责清晰、措施到位。加强高危险性体育赛事安全监管，严格许可条件及程序，做好宣传并贯彻实行的培训。</w:t>
      </w:r>
    </w:p>
    <w:p w14:paraId="06BF159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(二)编制群众体育赛事活动“负面清单”。</w:t>
      </w:r>
      <w:r>
        <w:rPr>
          <w:rFonts w:hint="eastAsia" w:ascii="仿宋_GB2312" w:hAnsi="仿宋_GB2312" w:eastAsia="仿宋_GB2312" w:cs="仿宋_GB2312"/>
          <w:sz w:val="32"/>
          <w:szCs w:val="40"/>
          <w:lang w:val="en-US" w:eastAsia="zh-CN"/>
        </w:rPr>
        <w:t>推动国家体育总局《群众体育赛事活动安全评估技术导则》《群众体育赛事活动运营服务规范》等行业标准在西秀区落细落地，梳理汇总我区群众体育赛事活动开展中存在的问题,分析产生问题的原因及其对群众体育赛事活动持续健康发展的潜在影响，形成群众体育赛事活动“负面清单”。</w:t>
      </w:r>
    </w:p>
    <w:p w14:paraId="4480882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40"/>
          <w:lang w:val="en-US" w:eastAsia="zh-CN"/>
        </w:rPr>
        <w:t>(三)加强体育场所设施安全、强化运营安全风险防范。</w:t>
      </w:r>
      <w:r>
        <w:rPr>
          <w:rFonts w:hint="eastAsia" w:ascii="仿宋_GB2312" w:hAnsi="仿宋_GB2312" w:eastAsia="仿宋_GB2312" w:cs="仿宋_GB2312"/>
          <w:color w:val="auto"/>
          <w:sz w:val="32"/>
          <w:szCs w:val="32"/>
        </w:rPr>
        <w:t>改造完善场馆硬件设施，加强对体育场馆设施的安全运营监管，</w:t>
      </w:r>
      <w:r>
        <w:rPr>
          <w:rFonts w:hint="eastAsia" w:ascii="仿宋_GB2312" w:hAnsi="仿宋_GB2312" w:eastAsia="仿宋_GB2312" w:cs="仿宋_GB2312"/>
          <w:sz w:val="32"/>
          <w:szCs w:val="40"/>
          <w:lang w:val="en-US" w:eastAsia="zh-CN"/>
        </w:rPr>
        <w:t>配合相关部门做好用作体育活动场所的建筑的安全管理，以及消防和燃气安全整治。加强极端天气条件下,体育场馆运营风险的预警和研判,果断采取暂停、延期、闭馆等措施，减少或避免人员伤亡和财产损失。</w:t>
      </w:r>
    </w:p>
    <w:p w14:paraId="1384A5D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b/>
          <w:bCs/>
          <w:strike w:val="0"/>
          <w:dstrike w:val="0"/>
          <w:sz w:val="32"/>
          <w:szCs w:val="40"/>
          <w:lang w:val="en-US" w:eastAsia="zh-CN"/>
        </w:rPr>
        <w:t>抓好体育领域重大事故隐患排查整治。</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国家体育总局发布的《体育行业重大事故隐患判定标准(2023版)》，</w:t>
      </w:r>
      <w:r>
        <w:rPr>
          <w:rFonts w:hint="eastAsia" w:ascii="仿宋_GB2312" w:hAnsi="仿宋_GB2312" w:eastAsia="仿宋_GB2312" w:cs="仿宋_GB2312"/>
          <w:color w:val="auto"/>
          <w:sz w:val="32"/>
          <w:szCs w:val="32"/>
          <w:lang w:eastAsia="zh-CN"/>
        </w:rPr>
        <w:t>扩大</w:t>
      </w:r>
      <w:r>
        <w:rPr>
          <w:rFonts w:hint="eastAsia" w:ascii="仿宋_GB2312" w:hAnsi="仿宋_GB2312" w:eastAsia="仿宋_GB2312" w:cs="仿宋_GB2312"/>
          <w:color w:val="auto"/>
          <w:sz w:val="32"/>
          <w:szCs w:val="32"/>
        </w:rPr>
        <w:t>体育行业重大事故隐患判定标准宣传,</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规范事故隐患排查工作流程,推动判定标准实施应用</w:t>
      </w:r>
      <w:r>
        <w:rPr>
          <w:rFonts w:hint="eastAsia" w:ascii="仿宋_GB2312" w:hAnsi="仿宋_GB2312" w:eastAsia="仿宋_GB2312" w:cs="仿宋_GB2312"/>
          <w:color w:val="auto"/>
          <w:sz w:val="32"/>
          <w:szCs w:val="32"/>
          <w:lang w:eastAsia="zh-CN"/>
        </w:rPr>
        <w:t>。执行好国家、省、市</w:t>
      </w:r>
      <w:r>
        <w:rPr>
          <w:rFonts w:hint="eastAsia" w:ascii="仿宋_GB2312" w:hAnsi="仿宋_GB2312" w:eastAsia="仿宋_GB2312" w:cs="仿宋_GB2312"/>
          <w:color w:val="auto"/>
          <w:sz w:val="32"/>
          <w:szCs w:val="32"/>
        </w:rPr>
        <w:t>运动项目技术技能、场地设施、器材装备等方面体育标准</w:t>
      </w:r>
      <w:r>
        <w:rPr>
          <w:rFonts w:hint="eastAsia" w:ascii="仿宋_GB2312" w:hAnsi="仿宋_GB2312" w:eastAsia="仿宋_GB2312" w:cs="仿宋_GB2312"/>
          <w:color w:val="auto"/>
          <w:sz w:val="32"/>
          <w:szCs w:val="32"/>
          <w:lang w:eastAsia="zh-CN"/>
        </w:rPr>
        <w:t>。</w:t>
      </w:r>
    </w:p>
    <w:p w14:paraId="3253764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trike w:val="0"/>
          <w:dstrike w:val="0"/>
          <w:sz w:val="32"/>
          <w:szCs w:val="40"/>
          <w:lang w:val="en-US" w:eastAsia="zh-CN"/>
        </w:rPr>
        <w:t>(五)</w:t>
      </w:r>
      <w:r>
        <w:rPr>
          <w:rFonts w:hint="eastAsia" w:ascii="仿宋_GB2312" w:hAnsi="仿宋_GB2312" w:eastAsia="仿宋_GB2312" w:cs="仿宋_GB2312"/>
          <w:b/>
          <w:bCs/>
          <w:sz w:val="32"/>
          <w:szCs w:val="40"/>
          <w:lang w:val="en-US" w:eastAsia="zh-CN"/>
        </w:rPr>
        <w:t>巩固重大事故隐患专项排查整治工作成果。</w:t>
      </w:r>
      <w:r>
        <w:rPr>
          <w:rFonts w:hint="eastAsia" w:ascii="仿宋_GB2312" w:hAnsi="仿宋_GB2312" w:eastAsia="仿宋_GB2312" w:cs="仿宋_GB2312"/>
          <w:sz w:val="32"/>
          <w:szCs w:val="40"/>
          <w:lang w:val="en-US" w:eastAsia="zh-CN"/>
        </w:rPr>
        <w:t>督促各乡（镇）、街道、社区主要负责人每半年至少带队开展一次重大事故隐患排查检查(常态化对高危险性体育项目和高危险性体育赛事活动安全开展督导检查)，完善并落实覆盖生产经营单位每一位从业人员的</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指导</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强化安全生产岗位责任制。</w:t>
      </w:r>
    </w:p>
    <w:p w14:paraId="0F74A67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strike w:val="0"/>
          <w:dstrike w:val="0"/>
          <w:sz w:val="32"/>
          <w:szCs w:val="40"/>
          <w:lang w:val="en-US" w:eastAsia="zh-CN"/>
        </w:rPr>
        <w:t>(六)持续加强安全监管。</w:t>
      </w:r>
      <w:r>
        <w:rPr>
          <w:rFonts w:hint="eastAsia" w:ascii="仿宋_GB2312" w:hAnsi="仿宋_GB2312" w:eastAsia="仿宋_GB2312" w:cs="仿宋_GB2312"/>
          <w:strike w:val="0"/>
          <w:dstrike w:val="0"/>
          <w:sz w:val="32"/>
          <w:szCs w:val="40"/>
          <w:lang w:val="en-US" w:eastAsia="zh-CN"/>
        </w:rPr>
        <w:t>重点围绕高危险性体育项目、高危险性体育赛事活动开展安全监管指导，畅通全区体育行业安全生产举报渠道，充分发动从业人员和社会群众及早发现、及时举报或报告重大事故隐患和各类违法违规行为。</w:t>
      </w:r>
    </w:p>
    <w:p w14:paraId="04EBCC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三、保障措施</w:t>
      </w:r>
    </w:p>
    <w:p w14:paraId="3222A00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(一)强化组织领导。</w:t>
      </w:r>
      <w:r>
        <w:rPr>
          <w:rFonts w:hint="eastAsia" w:ascii="仿宋_GB2312" w:hAnsi="仿宋_GB2312" w:eastAsia="仿宋_GB2312" w:cs="仿宋_GB2312"/>
          <w:sz w:val="32"/>
          <w:szCs w:val="40"/>
          <w:lang w:val="en-US" w:eastAsia="zh-CN"/>
        </w:rPr>
        <w:t>将安全生产治本攻坚三年行动列入年度重点任务，由主要负责同志亲自召开会议进行动员部署，定期听取进展情况汇报;其他负责同志及时研究体育行业的安全生产突出问题，积极开展调研督导，扎实推进工作。</w:t>
      </w:r>
    </w:p>
    <w:p w14:paraId="3046B26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(二)强化统筹推进。</w:t>
      </w:r>
      <w:r>
        <w:rPr>
          <w:rFonts w:hint="eastAsia" w:ascii="仿宋_GB2312" w:hAnsi="仿宋_GB2312" w:eastAsia="仿宋_GB2312" w:cs="仿宋_GB2312"/>
          <w:sz w:val="32"/>
          <w:szCs w:val="40"/>
          <w:lang w:val="en-US" w:eastAsia="zh-CN"/>
        </w:rPr>
        <w:t>各乡（镇）、街道、社区按照此方案，结合工作实际抓好落实，从行业规划、产业政策、法规标准、行政许可、监管执法、示范帮扶等方面强化治本攻坚工作。</w:t>
      </w:r>
    </w:p>
    <w:p w14:paraId="303F87B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(三)强化督导检查。</w:t>
      </w:r>
      <w:r>
        <w:rPr>
          <w:rFonts w:hint="eastAsia" w:ascii="仿宋_GB2312" w:hAnsi="仿宋_GB2312" w:eastAsia="仿宋_GB2312" w:cs="仿宋_GB2312"/>
          <w:sz w:val="32"/>
          <w:szCs w:val="40"/>
          <w:lang w:val="en-US" w:eastAsia="zh-CN"/>
        </w:rPr>
        <w:t>我局将结合工作实际，适时开展督促指导和检查调研，落实“多通报、多发督促函、多暗访”的要求，强化整改督办、责任倒查等工作，正向激励与严格问责并重，推动落实属地安全责任、行业监管责任，确保我区体育行业治本攻坚行动落地见效。</w:t>
      </w:r>
    </w:p>
    <w:p w14:paraId="13DA19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_GB2312" w:eastAsia="仿宋_GB2312" w:cs="仿宋_GB2312"/>
          <w:sz w:val="32"/>
          <w:szCs w:val="40"/>
          <w:lang w:val="en-US" w:eastAsia="zh-CN"/>
        </w:rPr>
        <w:t>(联系人:王冉，联系电话:33225150，邮箱:</w:t>
      </w:r>
      <w:r>
        <w:rPr>
          <w:rFonts w:ascii="微软雅黑" w:hAnsi="微软雅黑" w:eastAsia="微软雅黑" w:cs="微软雅黑"/>
          <w:i w:val="0"/>
          <w:iCs w:val="0"/>
          <w:caps w:val="0"/>
          <w:color w:val="222222"/>
          <w:spacing w:val="0"/>
          <w:sz w:val="24"/>
          <w:szCs w:val="24"/>
          <w:shd w:val="clear" w:fill="FFFFFF"/>
        </w:rPr>
        <w:t>xxqwgjtyk@163.com</w:t>
      </w:r>
      <w:r>
        <w:rPr>
          <w:rFonts w:hint="eastAsia" w:ascii="仿宋_GB2312" w:hAnsi="仿宋_GB2312" w:eastAsia="仿宋_GB2312" w:cs="仿宋_GB2312"/>
          <w:sz w:val="32"/>
          <w:szCs w:val="4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ZDExYTY2Yzc5ZGU3ODAwOGNlNzU5MGM3MDFhMzEifQ=="/>
  </w:docVars>
  <w:rsids>
    <w:rsidRoot w:val="103D112A"/>
    <w:rsid w:val="012958F6"/>
    <w:rsid w:val="103D112A"/>
    <w:rsid w:val="2BB364A1"/>
    <w:rsid w:val="433C165F"/>
    <w:rsid w:val="65765F2C"/>
    <w:rsid w:val="6635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qFormat/>
    <w:uiPriority w:val="99"/>
    <w:pPr>
      <w:ind w:left="200" w:leftChars="200" w:hanging="200" w:hangingChars="200"/>
    </w:pPr>
    <w:rPr>
      <w:rFonts w:ascii="Times New Roman" w:hAnsi="Times New Roman" w:cs="Calibri"/>
      <w:szCs w:val="21"/>
    </w:rPr>
  </w:style>
  <w:style w:type="paragraph" w:customStyle="1" w:styleId="5">
    <w:name w:val="BodyText"/>
    <w:basedOn w:val="1"/>
    <w:next w:val="1"/>
    <w:autoRedefine/>
    <w:qFormat/>
    <w:uiPriority w:val="0"/>
    <w:pPr>
      <w:spacing w:after="120"/>
      <w:jc w:val="both"/>
      <w:textAlignment w:val="baseline"/>
    </w:pPr>
    <w:rPr>
      <w:rFonts w:ascii="Calibri" w:hAnsi="Calibri"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1586</Words>
  <Characters>1640</Characters>
  <Lines>0</Lines>
  <Paragraphs>0</Paragraphs>
  <TotalTime>1</TotalTime>
  <ScaleCrop>false</ScaleCrop>
  <LinksUpToDate>false</LinksUpToDate>
  <CharactersWithSpaces>1642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2024-03-21T01:15:00Z</dcterms:created>
  <dc:creator>WPS_1337852198</dc:creator>
  <cp:lastModifiedBy>Administrator</cp:lastModifiedBy>
  <dcterms:modified xsi:type="dcterms:W3CDTF">2025-03-11T07:46:36Z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093675BC79804C8B8E0EBC5C1FE66311_11</vt:lpwstr>
  </property>
  <property fmtid="{D5CDD505-2E9C-101B-9397-08002B2CF9AE}" pid="4" name="KSOTemplateDocerSaveRecord">
    <vt:lpwstr>eyJoZGlkIjoiNjcwMTQ3YzQzNzJmNTc2ZGFiOWU3NDk4ZTFlMjg4NWUifQ==</vt:lpwstr>
  </property>
</Properties>
</file>