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>附件2：</w:t>
      </w:r>
    </w:p>
    <w:p>
      <w:pPr>
        <w:rPr>
          <w:rFonts w:hint="default" w:ascii="楷体_GB2312" w:hAnsi="Times New Roman" w:eastAsia="楷体_GB2312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西秀区区本级</w:t>
      </w:r>
      <w:r>
        <w:rPr>
          <w:rFonts w:hint="eastAsia"/>
          <w:b/>
          <w:bCs/>
          <w:sz w:val="44"/>
          <w:szCs w:val="44"/>
          <w:lang w:val="en-US" w:eastAsia="zh-CN"/>
        </w:rPr>
        <w:t>2022年部门决算中“三公”经费汇总情况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根据《中华人民共和国预算法》和《国务院关于深化预算管理制度改革的决定》（国发[2014]45号）有关规定，经汇总区本级行政单位（含参照公务员法管理的事业单位）、事业单位和其他单位部门决算，20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年度区本级预算单位“三公”经费汇总额为1139万元，较上年（下同）增加21万元，增长1.89%。具体情况是：因公出国（境）经费0万元，减少9万元，下降100%，其中因公出国（境）0人次（减少2人次）；公务接待费370万元，增加96万元，增长34.91%，其中国内公务接待支出370万元，国内公务接待7746批次（增加959批次），接待79453人次（增加19909人次）；公务用车购置及运行维护费769万元，减少65万元，下降7.82%，其中公务用车购置139万元，减少46万元，下降25.04%，公务用车运行维护费630万元，减少19万元，下降2.92%，公务用车购置数6辆（减少2辆），公务用车保有量408辆（减少66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MzQ1YTRhMDMwZjJjOTkzOTMyOWNjMTRmMWI3ZTIifQ=="/>
  </w:docVars>
  <w:rsids>
    <w:rsidRoot w:val="69831242"/>
    <w:rsid w:val="14605290"/>
    <w:rsid w:val="215556FA"/>
    <w:rsid w:val="2FEC231B"/>
    <w:rsid w:val="30367735"/>
    <w:rsid w:val="31333450"/>
    <w:rsid w:val="424D7C43"/>
    <w:rsid w:val="430E72BA"/>
    <w:rsid w:val="480548BA"/>
    <w:rsid w:val="69831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435</Characters>
  <Lines>0</Lines>
  <Paragraphs>0</Paragraphs>
  <TotalTime>111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2021-05-27T03:49:00Z</dcterms:created>
  <dc:creator>Administrator</dc:creator>
  <cp:lastModifiedBy>王毅</cp:lastModifiedBy>
  <dcterms:modified xsi:type="dcterms:W3CDTF">2023-08-22T00:37:57Z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057241D19531420FB1FD402724BDE257_13</vt:lpwstr>
  </property>
</Properties>
</file>