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7EE70">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西秀区2019年政府债务情况说明</w:t>
      </w:r>
    </w:p>
    <w:p w14:paraId="36F5D91E">
      <w:pPr>
        <w:spacing w:line="540" w:lineRule="exact"/>
        <w:rPr>
          <w:rFonts w:ascii="仿宋_GB2312" w:eastAsia="仿宋_GB2312"/>
          <w:sz w:val="32"/>
          <w:szCs w:val="32"/>
        </w:rPr>
      </w:pPr>
    </w:p>
    <w:p w14:paraId="33432031">
      <w:pPr>
        <w:spacing w:line="540" w:lineRule="exact"/>
        <w:ind w:firstLine="640" w:firstLineChars="200"/>
        <w:rPr>
          <w:rFonts w:ascii="黑体" w:hAnsi="黑体" w:eastAsia="黑体"/>
          <w:sz w:val="32"/>
          <w:szCs w:val="32"/>
        </w:rPr>
      </w:pPr>
      <w:r>
        <w:rPr>
          <w:rFonts w:hint="eastAsia" w:ascii="黑体" w:hAnsi="黑体" w:eastAsia="黑体"/>
          <w:sz w:val="32"/>
          <w:szCs w:val="32"/>
        </w:rPr>
        <w:t>一、西秀区政府债务基本情况</w:t>
      </w:r>
    </w:p>
    <w:p w14:paraId="17CE0CE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截至2019年末，西秀区政府债务余额为643,870.88万元，其中：一般债务309,840.5万元，专项债务334,030.38万元。643,870.88万元中政府债券642,175.45万元，非债券形式存量债务1,695.43万元，为外债转贷资金。</w:t>
      </w:r>
    </w:p>
    <w:p w14:paraId="7BFA34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我区2019年政府债务限额为739,361.61万元，其中：一般债务限额403,899.57万元，专项债务限额335,462.04万元。</w:t>
      </w:r>
    </w:p>
    <w:p w14:paraId="1CA8F3FE">
      <w:pPr>
        <w:spacing w:line="540" w:lineRule="exact"/>
        <w:ind w:firstLine="640" w:firstLineChars="2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年地方政府债务(转贷)收入</w:t>
      </w:r>
      <w:r>
        <w:rPr>
          <w:rFonts w:hint="eastAsia" w:ascii="仿宋_GB2312" w:eastAsia="仿宋_GB2312"/>
          <w:sz w:val="32"/>
          <w:szCs w:val="32"/>
        </w:rPr>
        <w:t>117,082.00</w:t>
      </w:r>
      <w:r>
        <w:rPr>
          <w:rFonts w:ascii="仿宋_GB2312" w:eastAsia="仿宋_GB2312"/>
          <w:sz w:val="32"/>
          <w:szCs w:val="32"/>
        </w:rPr>
        <w:t>万元，一般债务为</w:t>
      </w:r>
      <w:r>
        <w:rPr>
          <w:rFonts w:hint="eastAsia" w:ascii="仿宋_GB2312" w:eastAsia="仿宋_GB2312"/>
          <w:sz w:val="32"/>
          <w:szCs w:val="32"/>
        </w:rPr>
        <w:t>56,350.00</w:t>
      </w:r>
      <w:r>
        <w:rPr>
          <w:rFonts w:ascii="仿宋_GB2312" w:eastAsia="仿宋_GB2312"/>
          <w:sz w:val="32"/>
          <w:szCs w:val="32"/>
        </w:rPr>
        <w:t>万元，专项债务为</w:t>
      </w:r>
      <w:r>
        <w:rPr>
          <w:rFonts w:hint="eastAsia" w:ascii="仿宋_GB2312" w:eastAsia="仿宋_GB2312"/>
          <w:sz w:val="32"/>
          <w:szCs w:val="32"/>
        </w:rPr>
        <w:t>60,732.00</w:t>
      </w:r>
      <w:r>
        <w:rPr>
          <w:rFonts w:ascii="仿宋_GB2312" w:eastAsia="仿宋_GB2312"/>
          <w:sz w:val="32"/>
          <w:szCs w:val="32"/>
        </w:rPr>
        <w:t>万元</w:t>
      </w:r>
      <w:r>
        <w:rPr>
          <w:rFonts w:hint="eastAsia" w:ascii="仿宋_GB2312" w:eastAsia="仿宋_GB2312"/>
          <w:sz w:val="32"/>
          <w:szCs w:val="32"/>
        </w:rPr>
        <w:t>。</w:t>
      </w:r>
    </w:p>
    <w:p w14:paraId="5379A1A4">
      <w:pPr>
        <w:adjustRightInd w:val="0"/>
        <w:snapToGrid w:val="0"/>
        <w:spacing w:line="540" w:lineRule="exact"/>
        <w:ind w:firstLine="640" w:firstLineChars="2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年地方政府债务还本支出</w:t>
      </w:r>
      <w:r>
        <w:rPr>
          <w:rFonts w:hint="eastAsia" w:ascii="仿宋_GB2312" w:eastAsia="仿宋_GB2312"/>
          <w:sz w:val="32"/>
          <w:szCs w:val="32"/>
        </w:rPr>
        <w:t>77,162.31</w:t>
      </w:r>
      <w:r>
        <w:rPr>
          <w:rFonts w:ascii="仿宋_GB2312" w:eastAsia="仿宋_GB2312"/>
          <w:sz w:val="32"/>
          <w:szCs w:val="32"/>
        </w:rPr>
        <w:t>万元，一般债务为</w:t>
      </w:r>
      <w:r>
        <w:rPr>
          <w:rFonts w:hint="eastAsia" w:ascii="仿宋_GB2312" w:eastAsia="仿宋_GB2312"/>
          <w:sz w:val="32"/>
          <w:szCs w:val="32"/>
        </w:rPr>
        <w:t>46,430.31</w:t>
      </w:r>
      <w:r>
        <w:rPr>
          <w:rFonts w:ascii="仿宋_GB2312" w:eastAsia="仿宋_GB2312"/>
          <w:sz w:val="32"/>
          <w:szCs w:val="32"/>
        </w:rPr>
        <w:t>万元，专项债务为</w:t>
      </w:r>
      <w:r>
        <w:rPr>
          <w:rFonts w:hint="eastAsia" w:ascii="仿宋_GB2312" w:eastAsia="仿宋_GB2312"/>
          <w:sz w:val="32"/>
          <w:szCs w:val="32"/>
        </w:rPr>
        <w:t>30,732.00</w:t>
      </w:r>
      <w:r>
        <w:rPr>
          <w:rFonts w:ascii="仿宋_GB2312" w:eastAsia="仿宋_GB2312"/>
          <w:sz w:val="32"/>
          <w:szCs w:val="32"/>
        </w:rPr>
        <w:t>万元</w:t>
      </w:r>
      <w:r>
        <w:rPr>
          <w:rFonts w:hint="eastAsia" w:ascii="仿宋_GB2312" w:eastAsia="仿宋_GB2312"/>
          <w:sz w:val="32"/>
          <w:szCs w:val="32"/>
        </w:rPr>
        <w:t>。</w:t>
      </w:r>
    </w:p>
    <w:p w14:paraId="60A5EA34">
      <w:pPr>
        <w:pStyle w:val="2"/>
        <w:ind w:firstLine="640"/>
        <w:rPr>
          <w:rFonts w:eastAsia="仿宋_GB2312"/>
        </w:rPr>
      </w:pPr>
      <w:r>
        <w:rPr>
          <w:rFonts w:hint="eastAsia" w:ascii="仿宋_GB2312" w:eastAsia="仿宋_GB2312"/>
          <w:sz w:val="32"/>
          <w:szCs w:val="32"/>
        </w:rPr>
        <w:t>2019年地方政府债务调整1,017.08万元，一般债务（外债数据调整）1017.08万元，专项债务0万元。</w:t>
      </w:r>
    </w:p>
    <w:p w14:paraId="574BF965">
      <w:pPr>
        <w:adjustRightInd w:val="0"/>
        <w:snapToGrid w:val="0"/>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二、政府性债务组织机构和管理制度建设情况</w:t>
      </w:r>
    </w:p>
    <w:p w14:paraId="39D98E5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（一）组织机构建设情况</w:t>
      </w:r>
    </w:p>
    <w:p w14:paraId="538F0B3C">
      <w:pPr>
        <w:spacing w:line="540" w:lineRule="exact"/>
        <w:ind w:firstLine="640" w:firstLineChars="200"/>
        <w:rPr>
          <w:rFonts w:ascii="仿宋_GB2312" w:eastAsia="仿宋_GB2312"/>
          <w:sz w:val="32"/>
          <w:szCs w:val="32"/>
        </w:rPr>
      </w:pPr>
      <w:r>
        <w:rPr>
          <w:rFonts w:hint="eastAsia" w:ascii="仿宋_GB2312" w:eastAsia="仿宋_GB2312"/>
          <w:sz w:val="32"/>
          <w:szCs w:val="32"/>
        </w:rPr>
        <w:t>成立由书记、区长为双组长的西秀区政府性债务和政府隐性债务风险防范化解工作领导小组。认真学习领会、坚决贯彻中央和省委</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省政府决策部署，按照国家和省（市）相关要求，规范举债融资行为，积极防范化解财政金融风险。进一步严肃举债纪律，完善举债审批程序，落实偿债资金来源，坚决纠正违法违规举债、违法违规担保承诺行为。建立健全管理机构和工作机制，充实债务管理力量，贯彻落实各项地方政府性债务管理制度，规范举债，严控增量。</w:t>
      </w:r>
    </w:p>
    <w:p w14:paraId="3A88004C">
      <w:pPr>
        <w:adjustRightInd w:val="0"/>
        <w:snapToGrid w:val="0"/>
        <w:spacing w:line="540" w:lineRule="exact"/>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 xml:space="preserve">（二）债务管理制度建设情况     </w:t>
      </w:r>
    </w:p>
    <w:p w14:paraId="04DBB607">
      <w:pPr>
        <w:adjustRightInd w:val="0"/>
        <w:snapToGrid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西秀区出台的主要文件有</w:t>
      </w:r>
      <w:r>
        <w:rPr>
          <w:rFonts w:hint="eastAsia" w:ascii="仿宋_GB2312" w:hAnsi="仿宋_GB2312" w:eastAsia="仿宋_GB2312" w:cs="仿宋_GB2312"/>
          <w:sz w:val="32"/>
          <w:szCs w:val="32"/>
        </w:rPr>
        <w:t>《西秀区政府性债务管理暂行办法》、《西秀区政府性债务财政偿债准备金管理暂行办法》、《西秀区政府性债务化解总体规划》、《西秀区综合债务率管控方案》、《西秀区关于运用PPP模式化解政府性债务工作实施方案》、《西秀区政府性债务风险应急处置预案》、《关于政府债务风险管控工作整改专班巡视整改的方案》等，成立西秀区债务风险防范化解工作专班，下设14个工作专班，按照职责分工开展各项工作，切实防范财政金融风险。</w:t>
      </w:r>
    </w:p>
    <w:p w14:paraId="749CE9FD">
      <w:pPr>
        <w:adjustRightInd w:val="0"/>
        <w:snapToGrid w:val="0"/>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三、降低综合债务率落实情况</w:t>
      </w:r>
    </w:p>
    <w:p w14:paraId="4CB9E3C0">
      <w:pPr>
        <w:spacing w:line="540" w:lineRule="exact"/>
        <w:ind w:firstLine="645"/>
        <w:rPr>
          <w:rFonts w:ascii="仿宋_GB2312" w:eastAsia="仿宋_GB2312"/>
          <w:b/>
          <w:sz w:val="32"/>
          <w:szCs w:val="32"/>
        </w:rPr>
      </w:pPr>
      <w:r>
        <w:rPr>
          <w:rFonts w:hint="eastAsia" w:ascii="仿宋_GB2312" w:eastAsia="仿宋_GB2312"/>
          <w:b/>
          <w:sz w:val="32"/>
          <w:szCs w:val="32"/>
        </w:rPr>
        <w:t>1.提高可偿债财力，即做大分母</w:t>
      </w:r>
    </w:p>
    <w:p w14:paraId="56B2E5EC">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bCs/>
          <w:sz w:val="32"/>
          <w:szCs w:val="32"/>
        </w:rPr>
        <w:t>一是提高国有土地出让收入。</w:t>
      </w:r>
      <w:r>
        <w:rPr>
          <w:rFonts w:hint="eastAsia" w:ascii="仿宋_GB2312" w:eastAsia="仿宋_GB2312"/>
          <w:sz w:val="32"/>
          <w:szCs w:val="32"/>
        </w:rPr>
        <w:t>由国土部门牵头，研究制定切实提高国有土地出让收入的方案，切实加强国有土地出让收入征管，做到应收尽收。</w:t>
      </w:r>
    </w:p>
    <w:p w14:paraId="19D70030">
      <w:pPr>
        <w:spacing w:line="540" w:lineRule="exact"/>
        <w:ind w:firstLine="723" w:firstLineChars="225"/>
        <w:rPr>
          <w:rFonts w:ascii="仿宋_GB2312" w:hAnsi="Calibri" w:eastAsia="仿宋_GB2312" w:cs="Times New Roman"/>
          <w:sz w:val="32"/>
          <w:szCs w:val="32"/>
        </w:rPr>
      </w:pPr>
      <w:r>
        <w:rPr>
          <w:rFonts w:hint="eastAsia" w:ascii="仿宋_GB2312" w:eastAsia="仿宋_GB2312"/>
          <w:b/>
          <w:bCs/>
          <w:sz w:val="32"/>
          <w:szCs w:val="32"/>
        </w:rPr>
        <w:t>二是抓好税收收入。通过改善招商环境，依托工业园区、产业园区等项目开发。</w:t>
      </w:r>
      <w:r>
        <w:rPr>
          <w:rFonts w:hint="eastAsia" w:ascii="仿宋_GB2312" w:hAnsi="Calibri" w:eastAsia="仿宋_GB2312" w:cs="Times New Roman"/>
          <w:sz w:val="32"/>
          <w:szCs w:val="32"/>
        </w:rPr>
        <w:t>按照融合贵安新区发展的总体思路，结合自身产业结构转型升级和积极引进国家政策重点支持的产业，加大招商引资力度，不断创新招商引资方式，提高招商水平，引进优质创税企业。充分发挥财政资金的引子作用和放大效应，提高专项资金的使用效益，吸引更多社会资本投入到财源建设中。完善财源建设工作机制，清理规范税收等优惠政策，严厉打击偷税、漏税、逃税、抗税、骗税的不法行为，切实做到应收尽收。</w:t>
      </w:r>
    </w:p>
    <w:p w14:paraId="7B34DBAB">
      <w:pPr>
        <w:adjustRightInd w:val="0"/>
        <w:snapToGrid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三是通过做大财政收入，提高可偿债财力的调控力度。</w:t>
      </w:r>
    </w:p>
    <w:p w14:paraId="51F56D87">
      <w:pPr>
        <w:spacing w:line="540" w:lineRule="exact"/>
        <w:ind w:firstLine="643" w:firstLineChars="200"/>
        <w:rPr>
          <w:rFonts w:ascii="仿宋_GB2312" w:eastAsia="仿宋_GB2312"/>
          <w:b/>
          <w:sz w:val="32"/>
          <w:szCs w:val="32"/>
        </w:rPr>
      </w:pPr>
      <w:r>
        <w:rPr>
          <w:rFonts w:hint="eastAsia" w:ascii="仿宋_GB2312" w:eastAsia="仿宋_GB2312"/>
          <w:b/>
          <w:bCs/>
          <w:sz w:val="32"/>
          <w:szCs w:val="32"/>
        </w:rPr>
        <w:t>四是合理调整支出科目。</w:t>
      </w:r>
      <w:r>
        <w:rPr>
          <w:rFonts w:hint="eastAsia" w:ascii="仿宋_GB2312" w:eastAsia="仿宋_GB2312"/>
          <w:sz w:val="32"/>
          <w:szCs w:val="32"/>
        </w:rPr>
        <w:t>由财政部门牵头，研究可偿债财力的构成，在财力有限的情况下，通过对支出科目进行科学合理的调整，切实提高可偿债财力数据，降低债务率。</w:t>
      </w:r>
    </w:p>
    <w:p w14:paraId="4A777704">
      <w:pPr>
        <w:spacing w:line="540" w:lineRule="exact"/>
        <w:ind w:firstLine="645"/>
        <w:rPr>
          <w:rFonts w:ascii="仿宋_GB2312" w:eastAsia="仿宋_GB2312"/>
          <w:b/>
          <w:sz w:val="32"/>
          <w:szCs w:val="32"/>
        </w:rPr>
      </w:pPr>
      <w:r>
        <w:rPr>
          <w:rFonts w:hint="eastAsia" w:ascii="仿宋_GB2312" w:eastAsia="仿宋_GB2312"/>
          <w:b/>
          <w:sz w:val="32"/>
          <w:szCs w:val="32"/>
        </w:rPr>
        <w:t>2.化解存量债务，即做小分子</w:t>
      </w:r>
    </w:p>
    <w:p w14:paraId="02788539">
      <w:pPr>
        <w:spacing w:line="540" w:lineRule="exact"/>
        <w:ind w:firstLine="645"/>
        <w:rPr>
          <w:rFonts w:ascii="仿宋_GB2312" w:eastAsia="仿宋_GB2312"/>
          <w:sz w:val="32"/>
          <w:szCs w:val="32"/>
        </w:rPr>
      </w:pPr>
      <w:r>
        <w:rPr>
          <w:rFonts w:hint="eastAsia" w:ascii="仿宋_GB2312" w:eastAsia="仿宋_GB2312"/>
          <w:b/>
          <w:bCs/>
          <w:sz w:val="32"/>
          <w:szCs w:val="32"/>
        </w:rPr>
        <w:t>一是实事求是核销、核减一批。</w:t>
      </w:r>
      <w:r>
        <w:rPr>
          <w:rFonts w:hint="eastAsia" w:ascii="仿宋_GB2312" w:eastAsia="仿宋_GB2312"/>
          <w:sz w:val="32"/>
          <w:szCs w:val="32"/>
        </w:rPr>
        <w:t>由财政部门牵头，债务单位要积极对接审计部门，对存量债务进行仔细清理，对确实没有发生的债务要予以核销，对实质上已经支付了但账务还未处理的，要及时处理予以核减。</w:t>
      </w:r>
    </w:p>
    <w:p w14:paraId="004B208C">
      <w:pPr>
        <w:spacing w:line="540" w:lineRule="exact"/>
        <w:ind w:firstLine="645"/>
        <w:rPr>
          <w:rFonts w:ascii="仿宋_GB2312" w:eastAsia="仿宋_GB2312"/>
          <w:sz w:val="32"/>
          <w:szCs w:val="32"/>
        </w:rPr>
      </w:pPr>
      <w:r>
        <w:rPr>
          <w:rFonts w:hint="eastAsia" w:ascii="仿宋_GB2312" w:eastAsia="仿宋_GB2312"/>
          <w:b/>
          <w:bCs/>
          <w:sz w:val="32"/>
          <w:szCs w:val="32"/>
        </w:rPr>
        <w:t>二是剥离部分存量债务给原债务单位。</w:t>
      </w:r>
      <w:r>
        <w:rPr>
          <w:rFonts w:hint="eastAsia" w:ascii="仿宋_GB2312" w:eastAsia="仿宋_GB2312"/>
          <w:sz w:val="32"/>
          <w:szCs w:val="32"/>
        </w:rPr>
        <w:t>由财政部门牵头，对有收益但不适合做PPP的项目，要适度剥离给债务单位，由债务单位使用项目收益进行偿还。</w:t>
      </w:r>
    </w:p>
    <w:p w14:paraId="5C27FC3C">
      <w:pPr>
        <w:spacing w:line="540" w:lineRule="exact"/>
        <w:ind w:firstLine="643" w:firstLineChars="200"/>
        <w:rPr>
          <w:rFonts w:ascii="仿宋_GB2312" w:eastAsia="仿宋_GB2312"/>
          <w:sz w:val="32"/>
          <w:szCs w:val="32"/>
        </w:rPr>
      </w:pPr>
      <w:r>
        <w:rPr>
          <w:rFonts w:hint="eastAsia" w:ascii="仿宋_GB2312" w:eastAsia="仿宋_GB2312"/>
          <w:b/>
          <w:bCs/>
          <w:sz w:val="32"/>
          <w:szCs w:val="32"/>
        </w:rPr>
        <w:t>三是通过预算安排偿还部分债务。</w:t>
      </w:r>
      <w:r>
        <w:rPr>
          <w:rFonts w:hint="eastAsia" w:ascii="仿宋_GB2312" w:eastAsia="仿宋_GB2312"/>
          <w:sz w:val="32"/>
          <w:szCs w:val="32"/>
        </w:rPr>
        <w:t>对于为公益性项目举借，项目本身又没有收益的债务，财政部门要增收节支，调整优化财政支出结构，压缩一般性支出，通过一般公共预算、政府</w:t>
      </w:r>
      <w:r>
        <w:rPr>
          <w:rFonts w:hint="eastAsia" w:ascii="仿宋_GB2312" w:eastAsia="仿宋_GB2312"/>
          <w:sz w:val="32"/>
          <w:szCs w:val="32"/>
          <w:lang w:val="en-US" w:eastAsia="zh-CN"/>
        </w:rPr>
        <w:t>性</w:t>
      </w:r>
      <w:r>
        <w:rPr>
          <w:rFonts w:hint="eastAsia" w:ascii="仿宋_GB2312" w:eastAsia="仿宋_GB2312"/>
          <w:sz w:val="32"/>
          <w:szCs w:val="32"/>
        </w:rPr>
        <w:t>基金预算和国有资本经营预算安排，积极筹措资金偿还到期政府债务本息。</w:t>
      </w: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3"/>
    </w:sdtPr>
    <w:sdtEndPr>
      <w:rPr>
        <w:rFonts w:asciiTheme="minorEastAsia" w:hAnsiTheme="minorEastAsia"/>
        <w:sz w:val="28"/>
        <w:szCs w:val="28"/>
      </w:rPr>
    </w:sdtEndPr>
    <w:sdtContent>
      <w:p w14:paraId="015A87CA">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40C6F24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7"/>
    </w:sdtPr>
    <w:sdtEndPr>
      <w:rPr>
        <w:rFonts w:asciiTheme="minorEastAsia" w:hAnsiTheme="minorEastAsia"/>
        <w:sz w:val="28"/>
        <w:szCs w:val="28"/>
      </w:rPr>
    </w:sdtEndPr>
    <w:sdtContent>
      <w:p w14:paraId="2A5B99BF">
        <w:pPr>
          <w:pStyle w:val="4"/>
          <w:rPr>
            <w:rFonts w:asciiTheme="minorEastAsia" w:hAnsiTheme="minorEastAsia"/>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1721EBD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TQ3YzQzNzJmNTc2ZGFiOWU3NDk4ZTFlMjg4NWUifQ=="/>
  </w:docVars>
  <w:rsids>
    <w:rsidRoot w:val="00232EE0"/>
    <w:rsid w:val="00011AEB"/>
    <w:rsid w:val="000D6166"/>
    <w:rsid w:val="00160F65"/>
    <w:rsid w:val="001630AB"/>
    <w:rsid w:val="001E31B1"/>
    <w:rsid w:val="00232EE0"/>
    <w:rsid w:val="0030439A"/>
    <w:rsid w:val="003A5AEF"/>
    <w:rsid w:val="00467794"/>
    <w:rsid w:val="00492069"/>
    <w:rsid w:val="0061139C"/>
    <w:rsid w:val="00620C66"/>
    <w:rsid w:val="0068701E"/>
    <w:rsid w:val="00692D6A"/>
    <w:rsid w:val="006A6A69"/>
    <w:rsid w:val="00703235"/>
    <w:rsid w:val="00747D30"/>
    <w:rsid w:val="00880248"/>
    <w:rsid w:val="009364B9"/>
    <w:rsid w:val="00985046"/>
    <w:rsid w:val="00AB4BAF"/>
    <w:rsid w:val="00AC0C7A"/>
    <w:rsid w:val="00AD2355"/>
    <w:rsid w:val="00B034F9"/>
    <w:rsid w:val="00B62CE8"/>
    <w:rsid w:val="00B6548C"/>
    <w:rsid w:val="00C91EA9"/>
    <w:rsid w:val="00CB78BF"/>
    <w:rsid w:val="00D168BF"/>
    <w:rsid w:val="00D519F1"/>
    <w:rsid w:val="00DB5481"/>
    <w:rsid w:val="00DC1469"/>
    <w:rsid w:val="00E11F96"/>
    <w:rsid w:val="00E134F2"/>
    <w:rsid w:val="00E760B3"/>
    <w:rsid w:val="041B5148"/>
    <w:rsid w:val="0C905A4F"/>
    <w:rsid w:val="12BD4F79"/>
    <w:rsid w:val="1AB635B1"/>
    <w:rsid w:val="20633CAD"/>
    <w:rsid w:val="2ED77ECC"/>
    <w:rsid w:val="38C2415F"/>
    <w:rsid w:val="3E1F4137"/>
    <w:rsid w:val="47494CF6"/>
    <w:rsid w:val="489A7340"/>
    <w:rsid w:val="4A9150EF"/>
    <w:rsid w:val="4AE748E0"/>
    <w:rsid w:val="4DD8698F"/>
    <w:rsid w:val="4E0C46F8"/>
    <w:rsid w:val="4EEB66F4"/>
    <w:rsid w:val="51263E04"/>
    <w:rsid w:val="59E070B9"/>
    <w:rsid w:val="6232616A"/>
    <w:rsid w:val="639A2B57"/>
    <w:rsid w:val="64810369"/>
    <w:rsid w:val="655E5A4E"/>
    <w:rsid w:val="65A50248"/>
    <w:rsid w:val="69B5650D"/>
    <w:rsid w:val="6A142249"/>
    <w:rsid w:val="708F6B51"/>
    <w:rsid w:val="7388380E"/>
    <w:rsid w:val="75495CAA"/>
    <w:rsid w:val="78425A67"/>
    <w:rsid w:val="7D100DB0"/>
    <w:rsid w:val="7E7B2C9D"/>
    <w:rsid w:val="7EA5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autoRedefine/>
    <w:qFormat/>
    <w:uiPriority w:val="34"/>
    <w:pPr>
      <w:ind w:firstLine="420" w:firstLineChars="200"/>
    </w:pPr>
  </w:style>
  <w:style w:type="character" w:customStyle="1" w:styleId="12">
    <w:name w:val="批注框文本 Char"/>
    <w:basedOn w:val="8"/>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1390</Words>
  <Characters>1555</Characters>
  <Lines>11</Lines>
  <Paragraphs>3</Paragraphs>
  <TotalTime>0</TotalTime>
  <ScaleCrop>false</ScaleCrop>
  <LinksUpToDate>false</LinksUpToDate>
  <CharactersWithSpaces>1560</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2022-07-26T01:25:00Z</dcterms:created>
  <dc:creator>Administrator</dc:creator>
  <cp:lastModifiedBy>断尾的猫</cp:lastModifiedBy>
  <dcterms:modified xsi:type="dcterms:W3CDTF">2025-07-01T10:16:47Z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026993DFB99040FEB6C47517DFED5677_12</vt:lpwstr>
  </property>
  <property fmtid="{D5CDD505-2E9C-101B-9397-08002B2CF9AE}" pid="4" name="KSOTemplateDocerSaveRecord">
    <vt:lpwstr>eyJoZGlkIjoiNjcwMTQ3YzQzNzJmNTc2ZGFiOWU3NDk4ZTFlMjg4NWUiLCJ1c2VySWQiOiIzMzA1NTY0MzMifQ==</vt:lpwstr>
  </property>
</Properties>
</file>