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附件8</w:t>
      </w:r>
    </w:p>
    <w:p>
      <w:pPr>
        <w:pStyle w:val="2"/>
        <w:rPr>
          <w:rFonts w:hint="default"/>
          <w:lang w:val="en-US" w:eastAsia="zh-CN"/>
        </w:rPr>
      </w:pPr>
    </w:p>
    <w:p>
      <w:pPr>
        <w:spacing w:line="54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西秀区2021年举借债务及2022年</w:t>
      </w:r>
    </w:p>
    <w:p>
      <w:pPr>
        <w:spacing w:line="54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政府债券发行情况说明</w:t>
      </w:r>
    </w:p>
    <w:p>
      <w:pPr>
        <w:pStyle w:val="2"/>
      </w:pPr>
    </w:p>
    <w:p>
      <w:pPr>
        <w:pStyle w:val="6"/>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一、西秀区政府债务基本情况</w:t>
      </w:r>
    </w:p>
    <w:p>
      <w:pPr>
        <w:pStyle w:val="6"/>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（一）2021年政府债务举借情况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截至2021年末，西秀区政府债务余额为1,167,327.00万元，其中：一般债务657,390.00万元，专项债务509,937.00万元。1,167,327.00万元中政府债券1,165,771.00万元，非债券形式存量债务1,556.00万元，为外债转贷资金。</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我区2021年政府债务限额为1,213,315.00万元，其中：一般债务限额676,769.00万元，专项债务限额536,546.00万元。</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2021年地方政府债务(转贷)收入450,164.00万元，一般债务为333,806.00万元，专项债务为116,358.00万元。</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2021年地方政府债务还本支出437,304.00万元，一般债务为329,889.00万元，专项债务为107,415.00万元。</w:t>
      </w:r>
    </w:p>
    <w:p>
      <w:pPr>
        <w:pStyle w:val="6"/>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（二）2022年政府债券资金发行及使用安排</w:t>
      </w:r>
    </w:p>
    <w:p>
      <w:pPr>
        <w:pStyle w:val="6"/>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2022年西秀区预计发行40,404.00万元再融资债券资金用于偿还政府债券。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（三）2022年政府债券还本付息情况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西秀区2022年拟通过发行再融资债券资金偿还40,404.00万元政府债券本金；拟安排预算资金偿还1.49万元政府债券本金；拟安排预算资金偿还40,473.34万元政府债券利息。</w:t>
      </w:r>
    </w:p>
    <w:p>
      <w:pPr>
        <w:pStyle w:val="6"/>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二、政府性债务组织机构和管理制度建设情况</w:t>
      </w:r>
    </w:p>
    <w:p>
      <w:pPr>
        <w:keepNext w:val="0"/>
        <w:keepLines w:val="0"/>
        <w:pageBreakBefore w:val="0"/>
        <w:kinsoku/>
        <w:wordWrap/>
        <w:overflowPunct/>
        <w:topLinePunct w:val="0"/>
        <w:autoSpaceDE/>
        <w:autoSpaceDN/>
        <w:bidi w:val="0"/>
        <w:spacing w:line="576"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（一）组织机构建设情况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成立由书记、区长为双组长的西秀区政府性债务和政府隐性债务风险防范化解工作领导小组。</w:t>
      </w:r>
      <w:r>
        <w:rPr>
          <w:rFonts w:hint="eastAsia" w:ascii="仿宋_GB2312" w:hAnsi="仿宋_GB2312" w:eastAsia="仿宋_GB2312" w:cs="仿宋_GB2312"/>
          <w:color w:val="auto"/>
          <w:kern w:val="2"/>
          <w:sz w:val="32"/>
          <w:szCs w:val="32"/>
          <w:highlight w:val="none"/>
          <w:lang w:val="en-US" w:eastAsia="zh-CN"/>
        </w:rPr>
        <w:t>根据工作开展情况，多频次调整充实我区债务工作领导小组，区委、区政府主要领导任双组长，下设10个工作专班，涵盖债务管理、资产完善、资金筹集、涉法涉诉等模块，明确各工作专班具体职责，组织实施全区债务风险预警，统筹还本付息情况，制定债务化解措施等。</w:t>
      </w:r>
    </w:p>
    <w:p>
      <w:pPr>
        <w:keepNext w:val="0"/>
        <w:keepLines w:val="0"/>
        <w:pageBreakBefore w:val="0"/>
        <w:kinsoku/>
        <w:wordWrap/>
        <w:overflowPunct/>
        <w:topLinePunct w:val="0"/>
        <w:autoSpaceDE/>
        <w:autoSpaceDN/>
        <w:bidi w:val="0"/>
        <w:adjustRightInd w:val="0"/>
        <w:snapToGrid w:val="0"/>
        <w:spacing w:line="576" w:lineRule="exact"/>
        <w:ind w:firstLine="643" w:firstLineChars="200"/>
        <w:textAlignment w:val="auto"/>
        <w:rPr>
          <w:rFonts w:ascii="楷体_GB2312" w:hAnsi="Calibri" w:eastAsia="楷体_GB2312" w:cs="Times New Roman"/>
          <w:b/>
          <w:sz w:val="32"/>
          <w:szCs w:val="32"/>
        </w:rPr>
      </w:pPr>
      <w:r>
        <w:rPr>
          <w:rFonts w:hint="eastAsia" w:ascii="楷体_GB2312" w:hAnsi="Calibri" w:eastAsia="楷体_GB2312" w:cs="Times New Roman"/>
          <w:b/>
          <w:sz w:val="32"/>
          <w:szCs w:val="32"/>
        </w:rPr>
        <w:t xml:space="preserve">（二）债务管理制度建设情况     </w:t>
      </w:r>
    </w:p>
    <w:p>
      <w:pPr>
        <w:pStyle w:val="10"/>
        <w:keepNext w:val="0"/>
        <w:keepLines w:val="0"/>
        <w:pageBreakBefore w:val="0"/>
        <w:kinsoku/>
        <w:wordWrap/>
        <w:overflowPunct/>
        <w:topLinePunct w:val="0"/>
        <w:autoSpaceDE/>
        <w:autoSpaceDN/>
        <w:bidi w:val="0"/>
        <w:spacing w:line="576" w:lineRule="exact"/>
        <w:textAlignment w:val="auto"/>
        <w:rPr>
          <w:rFonts w:hint="eastAsia" w:ascii="仿宋_GB2312" w:hAnsi="Calibri" w:eastAsia="仿宋_GB2312" w:cs="Times New Roman"/>
          <w:sz w:val="32"/>
          <w:szCs w:val="32"/>
        </w:rPr>
      </w:pPr>
      <w:r>
        <w:rPr>
          <w:rFonts w:hint="eastAsia" w:ascii="仿宋_GB2312" w:hAnsi="仿宋_GB2312" w:eastAsia="仿宋_GB2312" w:cs="仿宋_GB2312"/>
          <w:color w:val="auto"/>
          <w:kern w:val="2"/>
          <w:sz w:val="32"/>
          <w:szCs w:val="32"/>
          <w:lang w:val="en-US" w:eastAsia="zh-CN" w:bidi="ar-SA"/>
        </w:rPr>
        <w:t>出台的主</w:t>
      </w:r>
      <w:r>
        <w:rPr>
          <w:rFonts w:hint="eastAsia" w:ascii="仿宋_GB2312" w:hAnsi="Calibri" w:eastAsia="仿宋_GB2312" w:cs="Times New Roman"/>
          <w:sz w:val="32"/>
          <w:szCs w:val="32"/>
        </w:rPr>
        <w:t>要文件</w:t>
      </w:r>
      <w:r>
        <w:rPr>
          <w:rFonts w:hint="eastAsia" w:ascii="仿宋_GB2312" w:hAnsi="Calibri" w:eastAsia="仿宋_GB2312" w:cs="Times New Roman"/>
          <w:sz w:val="32"/>
          <w:szCs w:val="32"/>
          <w:lang w:val="en-US" w:eastAsia="zh-CN"/>
        </w:rPr>
        <w:t>包括</w:t>
      </w:r>
      <w:r>
        <w:rPr>
          <w:rFonts w:hint="eastAsia" w:ascii="仿宋_GB2312" w:hAnsi="Calibri" w:eastAsia="仿宋_GB2312" w:cs="Times New Roman"/>
          <w:sz w:val="32"/>
          <w:szCs w:val="32"/>
        </w:rPr>
        <w:t>《西秀区</w:t>
      </w:r>
      <w:r>
        <w:rPr>
          <w:rFonts w:hint="eastAsia" w:ascii="仿宋_GB2312" w:hAnsi="Calibri" w:eastAsia="仿宋_GB2312" w:cs="Times New Roman"/>
          <w:sz w:val="32"/>
          <w:szCs w:val="32"/>
          <w:lang w:eastAsia="zh-CN"/>
        </w:rPr>
        <w:t>债务风险防范及舆情处置工作方案（试行）</w:t>
      </w:r>
      <w:r>
        <w:rPr>
          <w:rFonts w:hint="eastAsia" w:ascii="仿宋_GB2312" w:hAnsi="Calibri" w:eastAsia="仿宋_GB2312" w:cs="Times New Roman"/>
          <w:sz w:val="32"/>
          <w:szCs w:val="32"/>
        </w:rPr>
        <w:t>》、《西秀区</w:t>
      </w:r>
      <w:r>
        <w:rPr>
          <w:rFonts w:hint="eastAsia" w:ascii="仿宋_GB2312" w:hAnsi="Calibri" w:eastAsia="仿宋_GB2312" w:cs="Times New Roman"/>
          <w:sz w:val="32"/>
          <w:szCs w:val="32"/>
          <w:lang w:eastAsia="zh-CN"/>
        </w:rPr>
        <w:t>地方政府债务风险应急指挥部职责分工</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关于规范细化区级不可控债务四级研究协调机制流程的通知</w:t>
      </w:r>
      <w:r>
        <w:rPr>
          <w:rFonts w:hint="eastAsia" w:ascii="仿宋_GB2312" w:hAnsi="Calibri" w:eastAsia="仿宋_GB2312" w:cs="Times New Roman"/>
          <w:sz w:val="32"/>
          <w:szCs w:val="32"/>
        </w:rPr>
        <w:t>》、《西秀区</w:t>
      </w:r>
      <w:r>
        <w:rPr>
          <w:rFonts w:hint="eastAsia" w:ascii="仿宋_GB2312" w:hAnsi="Calibri" w:eastAsia="仿宋_GB2312" w:cs="Times New Roman"/>
          <w:sz w:val="32"/>
          <w:szCs w:val="32"/>
          <w:lang w:eastAsia="zh-CN"/>
        </w:rPr>
        <w:t>政府性债务和政府隐性债务风险防范化解工作领导小组关于成立债务风险防范化解工作专班的通知</w:t>
      </w:r>
      <w:r>
        <w:rPr>
          <w:rFonts w:hint="eastAsia" w:ascii="仿宋_GB2312" w:hAnsi="Calibri" w:eastAsia="仿宋_GB2312" w:cs="Times New Roman"/>
          <w:sz w:val="32"/>
          <w:szCs w:val="32"/>
        </w:rPr>
        <w:t>》、《</w:t>
      </w:r>
      <w:r>
        <w:rPr>
          <w:rFonts w:hint="eastAsia" w:ascii="仿宋_GB2312" w:hAnsi="Calibri" w:eastAsia="仿宋_GB2312" w:cs="Times New Roman"/>
          <w:bCs/>
          <w:sz w:val="32"/>
          <w:szCs w:val="32"/>
          <w:lang w:eastAsia="zh-CN"/>
        </w:rPr>
        <w:t>西秀区债务风险专项整治行动方案</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等</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健全债务管理制度，夯实债务管理基础，</w:t>
      </w:r>
      <w:r>
        <w:rPr>
          <w:rFonts w:hint="eastAsia" w:ascii="仿宋_GB2312" w:hAnsi="Calibri" w:eastAsia="仿宋_GB2312" w:cs="Times New Roman"/>
          <w:sz w:val="32"/>
          <w:szCs w:val="32"/>
        </w:rPr>
        <w:t>有效发挥政府规范举债积极作用，切实防范财政金融风险。</w:t>
      </w:r>
    </w:p>
    <w:p>
      <w:pPr>
        <w:pStyle w:val="6"/>
        <w:keepNext w:val="0"/>
        <w:keepLines w:val="0"/>
        <w:pageBreakBefore w:val="0"/>
        <w:widowControl/>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三、降低综合债务率落实情况</w:t>
      </w:r>
    </w:p>
    <w:p>
      <w:pPr>
        <w:keepNext w:val="0"/>
        <w:keepLines w:val="0"/>
        <w:pageBreakBefore w:val="0"/>
        <w:kinsoku/>
        <w:wordWrap/>
        <w:overflowPunct/>
        <w:topLinePunct w:val="0"/>
        <w:autoSpaceDE/>
        <w:autoSpaceDN/>
        <w:bidi w:val="0"/>
        <w:spacing w:line="576" w:lineRule="exact"/>
        <w:ind w:firstLine="645"/>
        <w:textAlignment w:val="auto"/>
        <w:rPr>
          <w:rFonts w:ascii="仿宋_GB2312" w:eastAsia="仿宋_GB2312"/>
          <w:b/>
          <w:sz w:val="32"/>
          <w:szCs w:val="32"/>
        </w:rPr>
      </w:pPr>
      <w:r>
        <w:rPr>
          <w:rFonts w:hint="eastAsia" w:ascii="仿宋_GB2312" w:eastAsia="仿宋_GB2312"/>
          <w:b/>
          <w:sz w:val="32"/>
          <w:szCs w:val="32"/>
        </w:rPr>
        <w:t>1.提高可偿债财力，即做大分母</w:t>
      </w:r>
    </w:p>
    <w:p>
      <w:pPr>
        <w:keepNext w:val="0"/>
        <w:keepLines w:val="0"/>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eastAsia="仿宋_GB2312"/>
          <w:b/>
          <w:bCs/>
          <w:sz w:val="32"/>
          <w:szCs w:val="32"/>
        </w:rPr>
        <w:t>一是提高国有土地出让收入。</w:t>
      </w:r>
      <w:r>
        <w:rPr>
          <w:rFonts w:hint="eastAsia" w:ascii="仿宋_GB2312" w:hAnsi="仿宋_GB2312" w:eastAsia="仿宋_GB2312" w:cs="仿宋_GB2312"/>
          <w:kern w:val="2"/>
          <w:sz w:val="32"/>
          <w:szCs w:val="32"/>
          <w:lang w:val="en-US" w:eastAsia="zh-CN" w:bidi="ar-SA"/>
        </w:rPr>
        <w:t>由自然资源局牵头，研究制定切实提高国有土地出让收入的方案，切实加强国有土地出让收入征管，做到应收尽收。</w:t>
      </w:r>
    </w:p>
    <w:p>
      <w:pPr>
        <w:keepNext w:val="0"/>
        <w:keepLines w:val="0"/>
        <w:pageBreakBefore w:val="0"/>
        <w:kinsoku/>
        <w:wordWrap/>
        <w:overflowPunct/>
        <w:topLinePunct w:val="0"/>
        <w:autoSpaceDE/>
        <w:autoSpaceDN/>
        <w:bidi w:val="0"/>
        <w:spacing w:line="576" w:lineRule="exact"/>
        <w:ind w:firstLine="723" w:firstLineChars="225"/>
        <w:textAlignment w:val="auto"/>
        <w:rPr>
          <w:rFonts w:ascii="仿宋_GB2312" w:hAnsi="Calibri" w:eastAsia="仿宋_GB2312" w:cs="Times New Roman"/>
          <w:sz w:val="32"/>
          <w:szCs w:val="32"/>
        </w:rPr>
      </w:pPr>
      <w:r>
        <w:rPr>
          <w:rFonts w:hint="eastAsia" w:ascii="仿宋_GB2312" w:eastAsia="仿宋_GB2312"/>
          <w:b/>
          <w:bCs/>
          <w:sz w:val="32"/>
          <w:szCs w:val="32"/>
        </w:rPr>
        <w:t>二是抓好税收收入。通过改善招商环境，依托工业园区、产业园区等项目开发。</w:t>
      </w:r>
      <w:r>
        <w:rPr>
          <w:rFonts w:hint="eastAsia" w:ascii="仿宋_GB2312" w:hAnsi="仿宋_GB2312" w:eastAsia="仿宋_GB2312" w:cs="仿宋_GB2312"/>
          <w:kern w:val="2"/>
          <w:sz w:val="32"/>
          <w:szCs w:val="32"/>
          <w:lang w:val="en-US" w:eastAsia="zh-CN" w:bidi="ar-SA"/>
        </w:rPr>
        <w:t>加大招商引资力度，不断创新招商引资方式，提高招商水平，引进优质创税企业。充分发挥财政资金的引子作用和放大效应，提高专项资金的使用效益，吸引更多社会资本投入到财源建设中。完善财源建设工作机制，清理规范税收等优惠政策，严厉打击偷税、漏税、逃税、抗税、骗税的不法行为，切实做到应收尽收。</w:t>
      </w:r>
    </w:p>
    <w:p>
      <w:pPr>
        <w:keepNext w:val="0"/>
        <w:keepLines w:val="0"/>
        <w:pageBreakBefore w:val="0"/>
        <w:kinsoku/>
        <w:wordWrap/>
        <w:overflowPunct/>
        <w:topLinePunct w:val="0"/>
        <w:autoSpaceDE/>
        <w:autoSpaceDN/>
        <w:bidi w:val="0"/>
        <w:spacing w:line="576" w:lineRule="exact"/>
        <w:ind w:firstLine="645"/>
        <w:textAlignment w:val="auto"/>
        <w:rPr>
          <w:rFonts w:ascii="仿宋_GB2312" w:eastAsia="仿宋_GB2312"/>
          <w:b/>
          <w:sz w:val="32"/>
          <w:szCs w:val="32"/>
        </w:rPr>
      </w:pPr>
      <w:r>
        <w:rPr>
          <w:rFonts w:hint="eastAsia" w:ascii="仿宋_GB2312" w:eastAsia="仿宋_GB2312"/>
          <w:b/>
          <w:sz w:val="32"/>
          <w:szCs w:val="32"/>
        </w:rPr>
        <w:t>2.化解存量债务，即做小分子</w:t>
      </w:r>
    </w:p>
    <w:p>
      <w:pPr>
        <w:keepNext w:val="0"/>
        <w:keepLines w:val="0"/>
        <w:pageBreakBefore w:val="0"/>
        <w:kinsoku/>
        <w:wordWrap/>
        <w:overflowPunct/>
        <w:topLinePunct w:val="0"/>
        <w:autoSpaceDE/>
        <w:autoSpaceDN/>
        <w:bidi w:val="0"/>
        <w:spacing w:line="576"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eastAsia="仿宋_GB2312"/>
          <w:b/>
          <w:bCs/>
          <w:sz w:val="32"/>
          <w:szCs w:val="32"/>
          <w:lang w:val="en-US" w:eastAsia="zh-CN"/>
        </w:rPr>
        <w:t>一</w:t>
      </w:r>
      <w:r>
        <w:rPr>
          <w:rFonts w:hint="eastAsia" w:ascii="仿宋_GB2312" w:eastAsia="仿宋_GB2312"/>
          <w:b/>
          <w:bCs/>
          <w:sz w:val="32"/>
          <w:szCs w:val="32"/>
        </w:rPr>
        <w:t>是通过预算安排偿还部分债务。</w:t>
      </w:r>
      <w:r>
        <w:rPr>
          <w:rFonts w:hint="eastAsia" w:ascii="仿宋_GB2312" w:hAnsi="仿宋_GB2312" w:eastAsia="仿宋_GB2312" w:cs="仿宋_GB2312"/>
          <w:kern w:val="2"/>
          <w:sz w:val="32"/>
          <w:szCs w:val="32"/>
          <w:lang w:val="en-US" w:eastAsia="zh-CN" w:bidi="ar-SA"/>
        </w:rPr>
        <w:t>对于为公益性项目举借，项目本身又没有收益的债务，财政部门要增收节支，调整优化财政支出结构，压缩一般性支出，通过一般公共预算、政府性</w:t>
      </w:r>
      <w:bookmarkStart w:id="0" w:name="_GoBack"/>
      <w:bookmarkEnd w:id="0"/>
      <w:r>
        <w:rPr>
          <w:rFonts w:hint="eastAsia" w:ascii="仿宋_GB2312" w:hAnsi="仿宋_GB2312" w:eastAsia="仿宋_GB2312" w:cs="仿宋_GB2312"/>
          <w:kern w:val="2"/>
          <w:sz w:val="32"/>
          <w:szCs w:val="32"/>
          <w:lang w:val="en-US" w:eastAsia="zh-CN" w:bidi="ar-SA"/>
        </w:rPr>
        <w:t>基金预算和国有资本经营预算安排，积极筹措资金偿还到期政府债务本息。</w:t>
      </w:r>
    </w:p>
    <w:p>
      <w:pPr>
        <w:pStyle w:val="2"/>
        <w:keepNext w:val="0"/>
        <w:keepLines w:val="0"/>
        <w:pageBreakBefore w:val="0"/>
        <w:kinsoku/>
        <w:wordWrap/>
        <w:overflowPunct/>
        <w:topLinePunct w:val="0"/>
        <w:autoSpaceDE/>
        <w:autoSpaceDN/>
        <w:bidi w:val="0"/>
        <w:spacing w:line="576" w:lineRule="exact"/>
        <w:textAlignment w:val="auto"/>
        <w:rPr>
          <w:rFonts w:hint="default"/>
          <w:lang w:val="en-US" w:eastAsia="zh-CN"/>
        </w:rPr>
      </w:pPr>
      <w:r>
        <w:rPr>
          <w:rFonts w:hint="eastAsia" w:ascii="仿宋_GB2312" w:eastAsia="仿宋_GB2312" w:hAnsiTheme="minorHAnsi" w:cstheme="minorBidi"/>
          <w:b/>
          <w:bCs/>
          <w:kern w:val="2"/>
          <w:sz w:val="32"/>
          <w:szCs w:val="32"/>
          <w:lang w:val="en-US" w:eastAsia="zh-CN" w:bidi="ar-SA"/>
        </w:rPr>
        <w:t>二是通过经营收入、处置资产偿还部分债务。</w:t>
      </w:r>
      <w:r>
        <w:rPr>
          <w:rFonts w:hint="eastAsia" w:ascii="仿宋_GB2312" w:hAnsi="仿宋_GB2312" w:eastAsia="仿宋_GB2312" w:cs="仿宋_GB2312"/>
          <w:kern w:val="2"/>
          <w:sz w:val="32"/>
          <w:szCs w:val="32"/>
          <w:lang w:val="en-US" w:eastAsia="zh-CN" w:bidi="ar-SA"/>
        </w:rPr>
        <w:t>统筹拥有优质经营资产的主管部门对国有企业强化资产管理，提升营运能力，着力提高资产收益率，筹集资金用于偿还化解债务。</w:t>
      </w: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3"/>
    </w:sdtPr>
    <w:sdtEndPr>
      <w:rPr>
        <w:rFonts w:asciiTheme="minorEastAsia" w:hAnsiTheme="minorEastAsia"/>
        <w:sz w:val="28"/>
        <w:szCs w:val="28"/>
      </w:rPr>
    </w:sdtEndPr>
    <w:sdtContent>
      <w:p>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7"/>
    </w:sdtPr>
    <w:sdtEndPr>
      <w:rPr>
        <w:rFonts w:asciiTheme="minorEastAsia" w:hAnsiTheme="minorEastAsia"/>
        <w:sz w:val="28"/>
        <w:szCs w:val="28"/>
      </w:rPr>
    </w:sdtEndPr>
    <w:sdtContent>
      <w:p>
        <w:pPr>
          <w:pStyle w:val="4"/>
          <w:rPr>
            <w:rFonts w:asciiTheme="minorEastAsia" w:hAnsiTheme="minorEastAsia"/>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TQ3YzQzNzJmNTc2ZGFiOWU3NDk4ZTFlMjg4NWUifQ=="/>
  </w:docVars>
  <w:rsids>
    <w:rsidRoot w:val="00232EE0"/>
    <w:rsid w:val="00011AEB"/>
    <w:rsid w:val="000D6166"/>
    <w:rsid w:val="00123D4B"/>
    <w:rsid w:val="00160F65"/>
    <w:rsid w:val="001630AB"/>
    <w:rsid w:val="001E31B1"/>
    <w:rsid w:val="00232EE0"/>
    <w:rsid w:val="0030439A"/>
    <w:rsid w:val="003A5AEF"/>
    <w:rsid w:val="00467794"/>
    <w:rsid w:val="00492069"/>
    <w:rsid w:val="00580F51"/>
    <w:rsid w:val="0061139C"/>
    <w:rsid w:val="00620C66"/>
    <w:rsid w:val="0068701E"/>
    <w:rsid w:val="00692D6A"/>
    <w:rsid w:val="006A6A69"/>
    <w:rsid w:val="00703235"/>
    <w:rsid w:val="00747D30"/>
    <w:rsid w:val="00880248"/>
    <w:rsid w:val="008C18BF"/>
    <w:rsid w:val="009364B9"/>
    <w:rsid w:val="00985046"/>
    <w:rsid w:val="00AB4BAF"/>
    <w:rsid w:val="00AC0C7A"/>
    <w:rsid w:val="00AD2355"/>
    <w:rsid w:val="00B034F9"/>
    <w:rsid w:val="00B62CE8"/>
    <w:rsid w:val="00B6548C"/>
    <w:rsid w:val="00CB78BF"/>
    <w:rsid w:val="00D168BF"/>
    <w:rsid w:val="00D519F1"/>
    <w:rsid w:val="00DB5481"/>
    <w:rsid w:val="00DC1469"/>
    <w:rsid w:val="00E11F96"/>
    <w:rsid w:val="00E134F2"/>
    <w:rsid w:val="03F86B1C"/>
    <w:rsid w:val="041B5148"/>
    <w:rsid w:val="07D0540C"/>
    <w:rsid w:val="09C000DC"/>
    <w:rsid w:val="0C905A4F"/>
    <w:rsid w:val="0F87169C"/>
    <w:rsid w:val="103D4421"/>
    <w:rsid w:val="10507CE0"/>
    <w:rsid w:val="112278CE"/>
    <w:rsid w:val="11437528"/>
    <w:rsid w:val="12AF6F40"/>
    <w:rsid w:val="12BD4F79"/>
    <w:rsid w:val="153A43EB"/>
    <w:rsid w:val="159D5775"/>
    <w:rsid w:val="17A56B63"/>
    <w:rsid w:val="1AB635B1"/>
    <w:rsid w:val="1C426355"/>
    <w:rsid w:val="1EAF2075"/>
    <w:rsid w:val="20633CAD"/>
    <w:rsid w:val="235404D4"/>
    <w:rsid w:val="263712CE"/>
    <w:rsid w:val="28B7094D"/>
    <w:rsid w:val="2C5D1363"/>
    <w:rsid w:val="2ED77ECC"/>
    <w:rsid w:val="32E14A9C"/>
    <w:rsid w:val="332E0024"/>
    <w:rsid w:val="338824AD"/>
    <w:rsid w:val="38F62D99"/>
    <w:rsid w:val="39F06D61"/>
    <w:rsid w:val="3A327626"/>
    <w:rsid w:val="3C8E7B2C"/>
    <w:rsid w:val="3E1F4137"/>
    <w:rsid w:val="3F620D12"/>
    <w:rsid w:val="402B6EBD"/>
    <w:rsid w:val="4142473E"/>
    <w:rsid w:val="42947D1F"/>
    <w:rsid w:val="45B47403"/>
    <w:rsid w:val="46E8710F"/>
    <w:rsid w:val="47494CF6"/>
    <w:rsid w:val="476B0980"/>
    <w:rsid w:val="489A7340"/>
    <w:rsid w:val="49090450"/>
    <w:rsid w:val="491B5CB0"/>
    <w:rsid w:val="4A9150EF"/>
    <w:rsid w:val="4AE748E0"/>
    <w:rsid w:val="4BDB53AB"/>
    <w:rsid w:val="4C693860"/>
    <w:rsid w:val="4CC748AA"/>
    <w:rsid w:val="4DD8698F"/>
    <w:rsid w:val="4E0C46F8"/>
    <w:rsid w:val="4E802916"/>
    <w:rsid w:val="4EEB66F4"/>
    <w:rsid w:val="51263E04"/>
    <w:rsid w:val="55B3554E"/>
    <w:rsid w:val="56C1680E"/>
    <w:rsid w:val="57DF1DF9"/>
    <w:rsid w:val="593B28A8"/>
    <w:rsid w:val="59E070B9"/>
    <w:rsid w:val="5F3F6522"/>
    <w:rsid w:val="5F7D704B"/>
    <w:rsid w:val="61F061FA"/>
    <w:rsid w:val="6232616A"/>
    <w:rsid w:val="62EA6A12"/>
    <w:rsid w:val="639A2B57"/>
    <w:rsid w:val="644B5969"/>
    <w:rsid w:val="64810369"/>
    <w:rsid w:val="655E5A4E"/>
    <w:rsid w:val="65A50248"/>
    <w:rsid w:val="65D06449"/>
    <w:rsid w:val="69B5650D"/>
    <w:rsid w:val="6A142249"/>
    <w:rsid w:val="6AD55F8D"/>
    <w:rsid w:val="6B0D1BCA"/>
    <w:rsid w:val="6D764B84"/>
    <w:rsid w:val="6F235519"/>
    <w:rsid w:val="705838E8"/>
    <w:rsid w:val="708F6B51"/>
    <w:rsid w:val="7388380E"/>
    <w:rsid w:val="75495CAA"/>
    <w:rsid w:val="78425A67"/>
    <w:rsid w:val="79E44680"/>
    <w:rsid w:val="7E7B2C9D"/>
    <w:rsid w:val="7EA5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autoRedefine/>
    <w:qFormat/>
    <w:uiPriority w:val="0"/>
    <w:pPr>
      <w:ind w:firstLine="420" w:firstLineChars="200"/>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公1"/>
    <w:basedOn w:val="1"/>
    <w:next w:val="1"/>
    <w:autoRedefine/>
    <w:qFormat/>
    <w:uiPriority w:val="0"/>
    <w:pPr>
      <w:ind w:firstLine="200" w:firstLineChars="200"/>
    </w:p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列出段落1"/>
    <w:basedOn w:val="1"/>
    <w:autoRedefine/>
    <w:qFormat/>
    <w:uiPriority w:val="34"/>
    <w:pPr>
      <w:ind w:firstLine="420" w:firstLineChars="200"/>
    </w:pPr>
  </w:style>
  <w:style w:type="character" w:customStyle="1" w:styleId="14">
    <w:name w:val="批注框文本 Char"/>
    <w:basedOn w:val="9"/>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1231</Words>
  <Characters>1435</Characters>
  <Lines>10</Lines>
  <Paragraphs>3</Paragraphs>
  <TotalTime>51</TotalTime>
  <ScaleCrop>false</ScaleCrop>
  <LinksUpToDate>false</LinksUpToDate>
  <CharactersWithSpaces>1440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2017-09-11T08:38:00Z</dcterms:created>
  <dc:creator>Administrator</dc:creator>
  <cp:lastModifiedBy>Administrator</cp:lastModifiedBy>
  <dcterms:modified xsi:type="dcterms:W3CDTF">2024-04-08T08:31:15Z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CDE46CB3C40645178A5C41B756535684</vt:lpwstr>
  </property>
</Properties>
</file>